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F7F" w:rsidRDefault="00175F7F">
      <w:hyperlink r:id="rId5" w:history="1">
        <w:r w:rsidRPr="00051AE4">
          <w:rPr>
            <w:rStyle w:val="Hyperlink"/>
          </w:rPr>
          <w:t>http://frdc.com.au/research/Final_Reports/2007-237-DLD.PDF</w:t>
        </w:r>
      </w:hyperlink>
    </w:p>
    <w:p w:rsidR="00175F7F" w:rsidRDefault="00175F7F">
      <w:bookmarkStart w:id="0" w:name="_GoBack"/>
      <w:bookmarkEnd w:id="0"/>
    </w:p>
    <w:sectPr w:rsidR="00175F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F7F"/>
    <w:rsid w:val="0017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5F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5F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rdc.com.au/research/Final_Reports/2007-237-DLD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Bayswater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May_Int_10</dc:creator>
  <cp:lastModifiedBy>May_Int_10</cp:lastModifiedBy>
  <cp:revision>1</cp:revision>
  <dcterms:created xsi:type="dcterms:W3CDTF">2016-11-21T06:06:00Z</dcterms:created>
  <dcterms:modified xsi:type="dcterms:W3CDTF">2016-11-21T06:07:00Z</dcterms:modified>
</cp:coreProperties>
</file>